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711"/>
        <w:tblW w:w="98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006"/>
        <w:gridCol w:w="1782"/>
        <w:gridCol w:w="3038"/>
      </w:tblGrid>
      <w:tr w:rsidR="00E27602" w:rsidRPr="00273DA9" w14:paraId="0816E6EB" w14:textId="77777777" w:rsidTr="00E27602">
        <w:trPr>
          <w:trHeight w:val="1618"/>
        </w:trPr>
        <w:tc>
          <w:tcPr>
            <w:tcW w:w="5006" w:type="dxa"/>
          </w:tcPr>
          <w:p w14:paraId="4588CEB7"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COMMUNE DE OUAGADOUGOU            </w:t>
            </w:r>
            <w:r w:rsidRPr="00273DA9">
              <w:rPr>
                <w:rFonts w:eastAsia="Times New Roman" w:cs="Arial"/>
                <w:b/>
                <w:sz w:val="18"/>
                <w:szCs w:val="18"/>
              </w:rPr>
              <w:tab/>
            </w:r>
            <w:r w:rsidRPr="00273DA9">
              <w:rPr>
                <w:rFonts w:eastAsia="Times New Roman" w:cs="Arial"/>
                <w:b/>
                <w:sz w:val="18"/>
                <w:szCs w:val="18"/>
              </w:rPr>
              <w:tab/>
              <w:t>-</w:t>
            </w:r>
          </w:p>
          <w:p w14:paraId="2C6F24DD"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                   -------------</w:t>
            </w:r>
          </w:p>
          <w:p w14:paraId="3EE5F8B8"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                    MAIRIE</w:t>
            </w:r>
          </w:p>
          <w:p w14:paraId="17837ACC"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                   --------------</w:t>
            </w:r>
          </w:p>
          <w:p w14:paraId="2A0A9052"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 SECRETARIAT GENERAL</w:t>
            </w:r>
            <w:r w:rsidRPr="00273DA9">
              <w:rPr>
                <w:rFonts w:eastAsia="Times New Roman" w:cs="Arial"/>
                <w:b/>
                <w:sz w:val="18"/>
                <w:szCs w:val="18"/>
              </w:rPr>
              <w:tab/>
            </w:r>
            <w:r w:rsidRPr="00273DA9">
              <w:rPr>
                <w:rFonts w:eastAsia="Times New Roman" w:cs="Arial"/>
                <w:b/>
                <w:sz w:val="18"/>
                <w:szCs w:val="18"/>
              </w:rPr>
              <w:tab/>
            </w:r>
          </w:p>
          <w:p w14:paraId="724F53B5" w14:textId="77777777" w:rsidR="00E27602" w:rsidRPr="00273DA9" w:rsidRDefault="00E27602" w:rsidP="00E27602">
            <w:pPr>
              <w:rPr>
                <w:rFonts w:eastAsia="Times New Roman" w:cs="Arial"/>
                <w:b/>
                <w:sz w:val="18"/>
                <w:szCs w:val="18"/>
              </w:rPr>
            </w:pPr>
            <w:r w:rsidRPr="00273DA9">
              <w:rPr>
                <w:rFonts w:eastAsia="Times New Roman" w:cs="Arial"/>
                <w:b/>
                <w:sz w:val="18"/>
                <w:szCs w:val="18"/>
              </w:rPr>
              <w:t xml:space="preserve">                   --------------- </w:t>
            </w:r>
          </w:p>
        </w:tc>
        <w:tc>
          <w:tcPr>
            <w:tcW w:w="1782" w:type="dxa"/>
          </w:tcPr>
          <w:p w14:paraId="684B3040" w14:textId="77777777" w:rsidR="00E27602" w:rsidRPr="00273DA9" w:rsidRDefault="00E27602" w:rsidP="00E27602">
            <w:pPr>
              <w:rPr>
                <w:rFonts w:eastAsia="Times New Roman"/>
                <w:b/>
                <w:sz w:val="18"/>
                <w:szCs w:val="18"/>
              </w:rPr>
            </w:pPr>
            <w:r w:rsidRPr="00273DA9">
              <w:rPr>
                <w:rFonts w:eastAsia="Times New Roman"/>
                <w:b/>
                <w:noProof/>
                <w:sz w:val="18"/>
                <w:szCs w:val="18"/>
              </w:rPr>
              <w:drawing>
                <wp:anchor distT="0" distB="0" distL="114300" distR="114300" simplePos="0" relativeHeight="251659264" behindDoc="0" locked="0" layoutInCell="1" allowOverlap="1" wp14:anchorId="718E4C59" wp14:editId="7B13F467">
                  <wp:simplePos x="0" y="0"/>
                  <wp:positionH relativeFrom="column">
                    <wp:posOffset>76200</wp:posOffset>
                  </wp:positionH>
                  <wp:positionV relativeFrom="paragraph">
                    <wp:posOffset>53340</wp:posOffset>
                  </wp:positionV>
                  <wp:extent cx="819150" cy="908050"/>
                  <wp:effectExtent l="0" t="0" r="0" b="6350"/>
                  <wp:wrapSquare wrapText="bothSides"/>
                  <wp:docPr id="2" name="Image 2" descr="LogoN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uv"/>
                          <pic:cNvPicPr>
                            <a:picLocks noChangeAspect="1" noChangeArrowheads="1"/>
                          </pic:cNvPicPr>
                        </pic:nvPicPr>
                        <pic:blipFill>
                          <a:blip r:embed="rId5" cstate="print"/>
                          <a:srcRect/>
                          <a:stretch>
                            <a:fillRect/>
                          </a:stretch>
                        </pic:blipFill>
                        <pic:spPr bwMode="auto">
                          <a:xfrm>
                            <a:off x="0" y="0"/>
                            <a:ext cx="819150" cy="908050"/>
                          </a:xfrm>
                          <a:prstGeom prst="rect">
                            <a:avLst/>
                          </a:prstGeom>
                          <a:noFill/>
                          <a:ln w="9525">
                            <a:noFill/>
                            <a:miter lim="800000"/>
                            <a:headEnd/>
                            <a:tailEnd/>
                          </a:ln>
                        </pic:spPr>
                      </pic:pic>
                    </a:graphicData>
                  </a:graphic>
                  <wp14:sizeRelV relativeFrom="margin">
                    <wp14:pctHeight>0</wp14:pctHeight>
                  </wp14:sizeRelV>
                </wp:anchor>
              </w:drawing>
            </w:r>
          </w:p>
        </w:tc>
        <w:tc>
          <w:tcPr>
            <w:tcW w:w="3038" w:type="dxa"/>
          </w:tcPr>
          <w:p w14:paraId="2786FDDD" w14:textId="77777777" w:rsidR="00E27602" w:rsidRPr="00273DA9" w:rsidRDefault="00E27602" w:rsidP="00E27602">
            <w:pPr>
              <w:rPr>
                <w:rFonts w:eastAsia="Times New Roman"/>
                <w:b/>
                <w:sz w:val="18"/>
                <w:szCs w:val="18"/>
              </w:rPr>
            </w:pPr>
            <w:r w:rsidRPr="00273DA9">
              <w:rPr>
                <w:rFonts w:eastAsia="Times New Roman"/>
                <w:b/>
                <w:sz w:val="18"/>
                <w:szCs w:val="18"/>
              </w:rPr>
              <w:t xml:space="preserve">             BURKINA   FASO                                                           </w:t>
            </w:r>
          </w:p>
          <w:p w14:paraId="00C5CF5F" w14:textId="77777777" w:rsidR="00E27602" w:rsidRPr="00273DA9" w:rsidRDefault="00E27602" w:rsidP="00E27602">
            <w:pPr>
              <w:rPr>
                <w:rFonts w:eastAsia="Times New Roman"/>
                <w:b/>
                <w:sz w:val="18"/>
                <w:szCs w:val="18"/>
              </w:rPr>
            </w:pPr>
            <w:r w:rsidRPr="00273DA9">
              <w:rPr>
                <w:rFonts w:eastAsia="Times New Roman"/>
                <w:b/>
                <w:sz w:val="18"/>
                <w:szCs w:val="18"/>
              </w:rPr>
              <w:t xml:space="preserve">                      -----------</w:t>
            </w:r>
          </w:p>
          <w:p w14:paraId="3FB118F3" w14:textId="77777777" w:rsidR="00E27602" w:rsidRPr="00273DA9" w:rsidRDefault="00E27602" w:rsidP="00E27602">
            <w:pPr>
              <w:rPr>
                <w:rFonts w:ascii="Bradley Hand ITC" w:eastAsia="Times New Roman" w:hAnsi="Bradley Hand ITC"/>
                <w:b/>
                <w:sz w:val="18"/>
                <w:szCs w:val="18"/>
              </w:rPr>
            </w:pPr>
            <w:r w:rsidRPr="00273DA9">
              <w:rPr>
                <w:rFonts w:eastAsia="Times New Roman"/>
                <w:b/>
                <w:sz w:val="18"/>
                <w:szCs w:val="18"/>
              </w:rPr>
              <w:t xml:space="preserve">           Unité - Progrès - Justice</w:t>
            </w:r>
            <w:r w:rsidRPr="00273DA9">
              <w:rPr>
                <w:rFonts w:ascii="Arial Narrow" w:eastAsia="Times New Roman" w:hAnsi="Arial Narrow"/>
                <w:b/>
                <w:sz w:val="18"/>
                <w:szCs w:val="18"/>
              </w:rPr>
              <w:tab/>
            </w:r>
          </w:p>
        </w:tc>
      </w:tr>
    </w:tbl>
    <w:p w14:paraId="71A56CA1" w14:textId="34B8FF7D" w:rsidR="005E7979" w:rsidRDefault="005E7979" w:rsidP="00E27602">
      <w:pPr>
        <w:spacing w:after="240"/>
        <w:jc w:val="center"/>
        <w:rPr>
          <w:rFonts w:ascii="Cambria" w:hAnsi="Cambria"/>
          <w:b/>
          <w:bCs/>
          <w:sz w:val="28"/>
          <w:szCs w:val="28"/>
          <w:u w:val="single"/>
        </w:rPr>
      </w:pPr>
      <w:r w:rsidRPr="00E27602">
        <w:rPr>
          <w:rFonts w:ascii="Cambria" w:hAnsi="Cambria"/>
          <w:b/>
          <w:bCs/>
          <w:sz w:val="28"/>
          <w:szCs w:val="28"/>
          <w:u w:val="single"/>
        </w:rPr>
        <w:t>FORMALITES D</w:t>
      </w:r>
      <w:r w:rsidR="00E32578">
        <w:rPr>
          <w:rFonts w:ascii="Cambria" w:hAnsi="Cambria"/>
          <w:b/>
          <w:bCs/>
          <w:sz w:val="28"/>
          <w:szCs w:val="28"/>
          <w:u w:val="single"/>
        </w:rPr>
        <w:t>EBIT DE BOISSON</w:t>
      </w:r>
    </w:p>
    <w:p w14:paraId="382E2D9C" w14:textId="77777777" w:rsidR="00744A67" w:rsidRPr="00E27602" w:rsidRDefault="00744A67" w:rsidP="00E27602">
      <w:pPr>
        <w:spacing w:after="240"/>
        <w:jc w:val="center"/>
        <w:rPr>
          <w:rFonts w:ascii="Cambria" w:hAnsi="Cambria"/>
          <w:b/>
          <w:bCs/>
          <w:sz w:val="28"/>
          <w:szCs w:val="28"/>
          <w:u w:val="single"/>
        </w:rPr>
      </w:pPr>
    </w:p>
    <w:tbl>
      <w:tblPr>
        <w:tblStyle w:val="Grilledutableau"/>
        <w:tblW w:w="10627" w:type="dxa"/>
        <w:jc w:val="center"/>
        <w:tblLook w:val="04A0" w:firstRow="1" w:lastRow="0" w:firstColumn="1" w:lastColumn="0" w:noHBand="0" w:noVBand="1"/>
      </w:tblPr>
      <w:tblGrid>
        <w:gridCol w:w="10627"/>
      </w:tblGrid>
      <w:tr w:rsidR="00744A67" w:rsidRPr="005E7979" w14:paraId="1371D80F" w14:textId="77777777" w:rsidTr="00744A67">
        <w:trPr>
          <w:trHeight w:val="1408"/>
          <w:jc w:val="center"/>
        </w:trPr>
        <w:tc>
          <w:tcPr>
            <w:tcW w:w="10627" w:type="dxa"/>
            <w:vAlign w:val="center"/>
          </w:tcPr>
          <w:p w14:paraId="1E573AA7" w14:textId="4A0F480D" w:rsidR="00744A67" w:rsidRPr="00A97957" w:rsidRDefault="00744A67" w:rsidP="00744A67">
            <w:pPr>
              <w:rPr>
                <w:rFonts w:ascii="Times New Roman" w:hAnsi="Times New Roman" w:cs="Times New Roman"/>
                <w:b/>
                <w:sz w:val="20"/>
                <w:szCs w:val="20"/>
                <w:u w:val="single"/>
              </w:rPr>
            </w:pPr>
            <w:r w:rsidRPr="00744A67">
              <w:rPr>
                <w:b/>
                <w:bCs/>
                <w:iCs/>
                <w:color w:val="404040" w:themeColor="text1" w:themeTint="BF"/>
                <w:sz w:val="22"/>
                <w:szCs w:val="22"/>
              </w:rPr>
              <w:t>Chemin</w:t>
            </w:r>
            <w:r w:rsidRPr="00744A67">
              <w:rPr>
                <w:b/>
                <w:bCs/>
                <w:iCs/>
                <w:color w:val="404040" w:themeColor="text1" w:themeTint="BF"/>
                <w:sz w:val="22"/>
                <w:szCs w:val="22"/>
              </w:rPr>
              <w:t xml:space="preserve"> du menu</w:t>
            </w:r>
            <w:r>
              <w:rPr>
                <w:i/>
                <w:color w:val="404040" w:themeColor="text1" w:themeTint="BF"/>
                <w:sz w:val="22"/>
                <w:szCs w:val="22"/>
              </w:rPr>
              <w:t> : Services et prestations/Voirie/</w:t>
            </w:r>
            <w:bookmarkStart w:id="0" w:name="_GoBack"/>
            <w:bookmarkEnd w:id="0"/>
          </w:p>
        </w:tc>
      </w:tr>
      <w:tr w:rsidR="005E7979" w:rsidRPr="005E7979" w14:paraId="7B4E8F1A" w14:textId="77777777" w:rsidTr="005E7979">
        <w:trPr>
          <w:trHeight w:val="1408"/>
          <w:jc w:val="center"/>
        </w:trPr>
        <w:tc>
          <w:tcPr>
            <w:tcW w:w="10627" w:type="dxa"/>
          </w:tcPr>
          <w:p w14:paraId="4846D653" w14:textId="77777777" w:rsidR="00E32578" w:rsidRPr="00A97957" w:rsidRDefault="00E32578" w:rsidP="00E32578">
            <w:pPr>
              <w:rPr>
                <w:rFonts w:ascii="Times New Roman" w:hAnsi="Times New Roman" w:cs="Times New Roman"/>
                <w:sz w:val="20"/>
                <w:szCs w:val="20"/>
              </w:rPr>
            </w:pPr>
            <w:r w:rsidRPr="00A97957">
              <w:rPr>
                <w:rFonts w:ascii="Times New Roman" w:hAnsi="Times New Roman" w:cs="Times New Roman"/>
                <w:b/>
                <w:sz w:val="20"/>
                <w:szCs w:val="20"/>
                <w:u w:val="single"/>
              </w:rPr>
              <w:t>PROCEDURE</w:t>
            </w:r>
            <w:r w:rsidRPr="00A97957">
              <w:rPr>
                <w:rFonts w:ascii="Times New Roman" w:hAnsi="Times New Roman" w:cs="Times New Roman"/>
                <w:sz w:val="20"/>
                <w:szCs w:val="20"/>
              </w:rPr>
              <w:t xml:space="preserve"> </w:t>
            </w:r>
          </w:p>
          <w:p w14:paraId="60990DFC" w14:textId="77777777" w:rsidR="00E32578" w:rsidRPr="00A97957" w:rsidRDefault="00E32578" w:rsidP="00E32578">
            <w:pPr>
              <w:rPr>
                <w:rFonts w:ascii="Times New Roman" w:hAnsi="Times New Roman" w:cs="Times New Roman"/>
                <w:sz w:val="20"/>
                <w:szCs w:val="20"/>
              </w:rPr>
            </w:pPr>
          </w:p>
          <w:p w14:paraId="6ABA6299" w14:textId="77777777" w:rsidR="00E32578" w:rsidRPr="00BD32C8" w:rsidRDefault="00E32578" w:rsidP="00E32578">
            <w:pPr>
              <w:rPr>
                <w:rFonts w:ascii="Times New Roman" w:hAnsi="Times New Roman" w:cs="Times New Roman"/>
                <w:sz w:val="20"/>
                <w:szCs w:val="18"/>
              </w:rPr>
            </w:pPr>
            <w:r w:rsidRPr="00BD32C8">
              <w:rPr>
                <w:rFonts w:ascii="Times New Roman" w:hAnsi="Times New Roman" w:cs="Times New Roman"/>
                <w:sz w:val="20"/>
                <w:szCs w:val="18"/>
              </w:rPr>
              <w:t>Toute personne (physique) qui désire obtenir l’autorisation d’ouvrir un débit de boissons doit adresser au Maire, un dossier comprenant :</w:t>
            </w:r>
          </w:p>
          <w:p w14:paraId="0B65708F" w14:textId="77777777" w:rsidR="00E32578" w:rsidRPr="00BD32C8" w:rsidRDefault="00E32578" w:rsidP="00E32578">
            <w:pPr>
              <w:rPr>
                <w:rFonts w:ascii="Times New Roman" w:hAnsi="Times New Roman" w:cs="Times New Roman"/>
                <w:sz w:val="20"/>
                <w:szCs w:val="18"/>
              </w:rPr>
            </w:pPr>
          </w:p>
          <w:p w14:paraId="4D9BE3C8"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 xml:space="preserve">1°/ Une demande timbrée à </w:t>
            </w:r>
            <w:smartTag w:uri="urn:schemas-microsoft-com:office:smarttags" w:element="metricconverter">
              <w:smartTagPr>
                <w:attr w:name="ProductID" w:val="300 F"/>
              </w:smartTagPr>
              <w:r w:rsidRPr="00BD32C8">
                <w:rPr>
                  <w:rFonts w:ascii="Times New Roman" w:hAnsi="Times New Roman" w:cs="Times New Roman"/>
                  <w:sz w:val="20"/>
                  <w:szCs w:val="18"/>
                </w:rPr>
                <w:t>300 F</w:t>
              </w:r>
            </w:smartTag>
            <w:r w:rsidRPr="00BD32C8">
              <w:rPr>
                <w:rFonts w:ascii="Times New Roman" w:hAnsi="Times New Roman" w:cs="Times New Roman"/>
                <w:sz w:val="20"/>
                <w:szCs w:val="18"/>
              </w:rPr>
              <w:t xml:space="preserve"> précisant l’enseigne de l’établissement ;</w:t>
            </w:r>
          </w:p>
          <w:p w14:paraId="707E5495"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2°/ Un acte de naissance ou jugement supplétif en tenant lieu ;</w:t>
            </w:r>
          </w:p>
          <w:p w14:paraId="397FCBAB"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3°/ Un extrait du casier judiciaire datant de moins de 3 mois ;</w:t>
            </w:r>
          </w:p>
          <w:p w14:paraId="76B53C8E"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4°/ Un certificat de visite et de contre visite délivré par un Médecin ;</w:t>
            </w:r>
          </w:p>
          <w:p w14:paraId="21E100D5"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5°/ Un certificat de résidence ;</w:t>
            </w:r>
          </w:p>
          <w:p w14:paraId="4FE9BEEC"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6°/ Un plan détaillé de l’établissement ;</w:t>
            </w:r>
          </w:p>
          <w:p w14:paraId="554E51E1" w14:textId="77777777" w:rsidR="00E32578" w:rsidRPr="00BD32C8" w:rsidRDefault="00E32578" w:rsidP="00E32578">
            <w:pPr>
              <w:spacing w:line="360" w:lineRule="auto"/>
              <w:rPr>
                <w:rFonts w:ascii="Times New Roman" w:hAnsi="Times New Roman" w:cs="Times New Roman"/>
                <w:sz w:val="20"/>
                <w:szCs w:val="18"/>
              </w:rPr>
            </w:pPr>
            <w:r w:rsidRPr="00BD32C8">
              <w:rPr>
                <w:rFonts w:ascii="Times New Roman" w:hAnsi="Times New Roman" w:cs="Times New Roman"/>
                <w:sz w:val="20"/>
                <w:szCs w:val="18"/>
              </w:rPr>
              <w:t>7°/ Un récépissé de déclaration d’activités délivré par le Service des Impôts.</w:t>
            </w:r>
          </w:p>
          <w:p w14:paraId="38A7FF07" w14:textId="77777777" w:rsidR="00E32578" w:rsidRPr="00BD32C8" w:rsidRDefault="00E32578" w:rsidP="00E32578">
            <w:pPr>
              <w:spacing w:line="360" w:lineRule="auto"/>
              <w:rPr>
                <w:rFonts w:ascii="Times New Roman" w:hAnsi="Times New Roman" w:cs="Times New Roman"/>
                <w:sz w:val="20"/>
                <w:szCs w:val="18"/>
              </w:rPr>
            </w:pPr>
          </w:p>
          <w:p w14:paraId="1FEF84AA" w14:textId="77777777" w:rsidR="00E32578" w:rsidRPr="00BD32C8" w:rsidRDefault="00E32578" w:rsidP="00E32578">
            <w:pPr>
              <w:rPr>
                <w:rFonts w:ascii="Times New Roman" w:hAnsi="Times New Roman" w:cs="Times New Roman"/>
                <w:i/>
                <w:sz w:val="20"/>
                <w:szCs w:val="18"/>
              </w:rPr>
            </w:pPr>
            <w:r w:rsidRPr="00BD32C8">
              <w:rPr>
                <w:rFonts w:ascii="Times New Roman" w:hAnsi="Times New Roman" w:cs="Times New Roman"/>
                <w:b/>
                <w:sz w:val="20"/>
                <w:szCs w:val="18"/>
                <w:u w:val="single"/>
              </w:rPr>
              <w:t>NB </w:t>
            </w:r>
            <w:r w:rsidRPr="00BD32C8">
              <w:rPr>
                <w:rFonts w:ascii="Times New Roman" w:hAnsi="Times New Roman" w:cs="Times New Roman"/>
                <w:b/>
                <w:i/>
                <w:sz w:val="20"/>
                <w:szCs w:val="18"/>
              </w:rPr>
              <w:t>:</w:t>
            </w:r>
            <w:r w:rsidRPr="00BD32C8">
              <w:rPr>
                <w:rFonts w:ascii="Times New Roman" w:hAnsi="Times New Roman" w:cs="Times New Roman"/>
                <w:i/>
                <w:sz w:val="20"/>
                <w:szCs w:val="18"/>
              </w:rPr>
              <w:t xml:space="preserve"> Pour les personnes morales (Sociétés et Associations), elles devront fournir outre la demande timbrée précisant l’enseigne de l’établissement, le plan détaillé de l’établissement et le récépissé de déclaration d’activités, leurs statuts.</w:t>
            </w:r>
          </w:p>
          <w:p w14:paraId="42C12E6C" w14:textId="77777777" w:rsidR="00E32578" w:rsidRPr="00BD32C8" w:rsidRDefault="00E32578" w:rsidP="00E32578">
            <w:pPr>
              <w:jc w:val="both"/>
              <w:rPr>
                <w:rFonts w:ascii="Times New Roman" w:hAnsi="Times New Roman" w:cs="Times New Roman"/>
                <w:sz w:val="20"/>
                <w:szCs w:val="18"/>
              </w:rPr>
            </w:pPr>
          </w:p>
          <w:p w14:paraId="081EB5B6" w14:textId="77777777" w:rsidR="00E32578" w:rsidRPr="00BD32C8" w:rsidRDefault="00E32578" w:rsidP="00E32578">
            <w:pPr>
              <w:jc w:val="both"/>
              <w:rPr>
                <w:rFonts w:ascii="Times New Roman" w:hAnsi="Times New Roman" w:cs="Times New Roman"/>
                <w:sz w:val="20"/>
                <w:szCs w:val="18"/>
              </w:rPr>
            </w:pPr>
          </w:p>
          <w:p w14:paraId="1D2DBDBE" w14:textId="77777777" w:rsidR="00E32578" w:rsidRPr="00BD32C8" w:rsidRDefault="00E32578" w:rsidP="00E32578">
            <w:pPr>
              <w:shd w:val="clear" w:color="auto" w:fill="808080"/>
              <w:rPr>
                <w:rFonts w:ascii="Times New Roman" w:hAnsi="Times New Roman" w:cs="Times New Roman"/>
                <w:b/>
                <w:color w:val="FFFFFF"/>
                <w:sz w:val="20"/>
                <w:szCs w:val="18"/>
              </w:rPr>
            </w:pPr>
            <w:r w:rsidRPr="00BD32C8">
              <w:rPr>
                <w:rFonts w:ascii="Times New Roman" w:hAnsi="Times New Roman" w:cs="Times New Roman"/>
                <w:b/>
                <w:color w:val="FFFFFF"/>
                <w:sz w:val="20"/>
                <w:szCs w:val="18"/>
              </w:rPr>
              <w:t>Autres renseignements : CLASSIFICATION DES GROUPES DE BOISSONS</w:t>
            </w:r>
          </w:p>
          <w:p w14:paraId="7ED4E575" w14:textId="77777777" w:rsidR="00E32578" w:rsidRPr="00BD32C8" w:rsidRDefault="00E32578" w:rsidP="00E32578">
            <w:pPr>
              <w:ind w:left="360"/>
              <w:rPr>
                <w:rFonts w:ascii="Times New Roman" w:hAnsi="Times New Roman" w:cs="Times New Roman"/>
                <w:sz w:val="20"/>
                <w:szCs w:val="18"/>
              </w:rPr>
            </w:pPr>
          </w:p>
          <w:p w14:paraId="4873A5A0" w14:textId="77777777" w:rsidR="00E32578" w:rsidRPr="00BD32C8" w:rsidRDefault="00E32578" w:rsidP="00E32578">
            <w:pPr>
              <w:rPr>
                <w:rFonts w:ascii="Times New Roman" w:hAnsi="Times New Roman" w:cs="Times New Roman"/>
                <w:sz w:val="20"/>
                <w:szCs w:val="18"/>
              </w:rPr>
            </w:pPr>
            <w:smartTag w:uri="urn:schemas-microsoft-com:office:smarttags" w:element="PersonName">
              <w:smartTagPr>
                <w:attr w:name="ProductID" w:val="La  Loi N"/>
              </w:smartTagPr>
              <w:r w:rsidRPr="00BD32C8">
                <w:rPr>
                  <w:rFonts w:ascii="Times New Roman" w:hAnsi="Times New Roman" w:cs="Times New Roman"/>
                  <w:sz w:val="20"/>
                  <w:szCs w:val="18"/>
                </w:rPr>
                <w:t>La  Loi N</w:t>
              </w:r>
            </w:smartTag>
            <w:r w:rsidRPr="00BD32C8">
              <w:rPr>
                <w:rFonts w:ascii="Times New Roman" w:hAnsi="Times New Roman" w:cs="Times New Roman"/>
                <w:sz w:val="20"/>
                <w:szCs w:val="18"/>
              </w:rPr>
              <w:t>°9/79/AN du 7 juin 1979 portant réglementation des débits de boissons en Haute Volta répartit les boissons en trois groupes :</w:t>
            </w:r>
          </w:p>
          <w:p w14:paraId="17A5C92A" w14:textId="77777777" w:rsidR="00E32578" w:rsidRPr="00BD32C8" w:rsidRDefault="00E32578" w:rsidP="00E32578">
            <w:pPr>
              <w:rPr>
                <w:rFonts w:ascii="Times New Roman" w:hAnsi="Times New Roman" w:cs="Times New Roman"/>
                <w:sz w:val="20"/>
                <w:szCs w:val="18"/>
              </w:rPr>
            </w:pPr>
          </w:p>
          <w:p w14:paraId="4E230229" w14:textId="77777777" w:rsidR="00E32578" w:rsidRPr="00BD32C8" w:rsidRDefault="00E32578" w:rsidP="00E32578">
            <w:pPr>
              <w:rPr>
                <w:rFonts w:ascii="Times New Roman" w:hAnsi="Times New Roman" w:cs="Times New Roman"/>
                <w:sz w:val="20"/>
                <w:szCs w:val="18"/>
              </w:rPr>
            </w:pPr>
          </w:p>
          <w:p w14:paraId="3016B7B0" w14:textId="77777777" w:rsidR="00E32578" w:rsidRPr="00BD32C8" w:rsidRDefault="00E32578" w:rsidP="00E32578">
            <w:pPr>
              <w:rPr>
                <w:rFonts w:ascii="Times New Roman" w:hAnsi="Times New Roman" w:cs="Times New Roman"/>
                <w:sz w:val="20"/>
                <w:szCs w:val="18"/>
              </w:rPr>
            </w:pPr>
            <w:r w:rsidRPr="00BD32C8">
              <w:rPr>
                <w:rFonts w:ascii="Times New Roman" w:hAnsi="Times New Roman" w:cs="Times New Roman"/>
                <w:b/>
                <w:sz w:val="20"/>
                <w:szCs w:val="18"/>
                <w:u w:val="single"/>
              </w:rPr>
              <w:t>GROUPE I</w:t>
            </w:r>
            <w:r w:rsidRPr="00BD32C8">
              <w:rPr>
                <w:rFonts w:ascii="Times New Roman" w:hAnsi="Times New Roman" w:cs="Times New Roman"/>
                <w:sz w:val="20"/>
                <w:szCs w:val="18"/>
              </w:rPr>
              <w:t> : Boissons telles que</w:t>
            </w:r>
            <w:r w:rsidRPr="00BD32C8">
              <w:rPr>
                <w:rFonts w:ascii="Times New Roman" w:hAnsi="Times New Roman" w:cs="Times New Roman"/>
                <w:b/>
                <w:sz w:val="20"/>
                <w:szCs w:val="18"/>
              </w:rPr>
              <w:t xml:space="preserve"> : eaux minérales </w:t>
            </w:r>
            <w:r w:rsidRPr="00BD32C8">
              <w:rPr>
                <w:rFonts w:ascii="Times New Roman" w:hAnsi="Times New Roman" w:cs="Times New Roman"/>
                <w:sz w:val="20"/>
                <w:szCs w:val="18"/>
              </w:rPr>
              <w:t xml:space="preserve">ou </w:t>
            </w:r>
            <w:r w:rsidRPr="00BD32C8">
              <w:rPr>
                <w:rFonts w:ascii="Times New Roman" w:hAnsi="Times New Roman" w:cs="Times New Roman"/>
                <w:b/>
                <w:sz w:val="20"/>
                <w:szCs w:val="18"/>
              </w:rPr>
              <w:t xml:space="preserve">gazéifiées, jus de fruits, </w:t>
            </w:r>
            <w:r w:rsidRPr="00BD32C8">
              <w:rPr>
                <w:rFonts w:ascii="Times New Roman" w:hAnsi="Times New Roman" w:cs="Times New Roman"/>
                <w:sz w:val="20"/>
                <w:szCs w:val="18"/>
              </w:rPr>
              <w:t>ou</w:t>
            </w:r>
            <w:r w:rsidRPr="00BD32C8">
              <w:rPr>
                <w:rFonts w:ascii="Times New Roman" w:hAnsi="Times New Roman" w:cs="Times New Roman"/>
                <w:b/>
                <w:sz w:val="20"/>
                <w:szCs w:val="18"/>
              </w:rPr>
              <w:t xml:space="preserve"> de légumes, limonades, sirops, infusions, lait, café, thé, chocolat, bière, cidre</w:t>
            </w:r>
            <w:r w:rsidRPr="00BD32C8">
              <w:rPr>
                <w:rFonts w:ascii="Times New Roman" w:hAnsi="Times New Roman" w:cs="Times New Roman"/>
                <w:sz w:val="20"/>
                <w:szCs w:val="18"/>
              </w:rPr>
              <w:t>.</w:t>
            </w:r>
          </w:p>
          <w:p w14:paraId="729197C7" w14:textId="77777777" w:rsidR="00E32578" w:rsidRPr="00BD32C8" w:rsidRDefault="00E32578" w:rsidP="00E32578">
            <w:pPr>
              <w:rPr>
                <w:rFonts w:ascii="Times New Roman" w:hAnsi="Times New Roman" w:cs="Times New Roman"/>
                <w:sz w:val="20"/>
                <w:szCs w:val="18"/>
              </w:rPr>
            </w:pPr>
          </w:p>
          <w:p w14:paraId="56789A03" w14:textId="77777777" w:rsidR="00E32578" w:rsidRPr="00BD32C8" w:rsidRDefault="00E32578" w:rsidP="00E32578">
            <w:pPr>
              <w:rPr>
                <w:rFonts w:ascii="Times New Roman" w:hAnsi="Times New Roman" w:cs="Times New Roman"/>
                <w:sz w:val="20"/>
                <w:szCs w:val="18"/>
              </w:rPr>
            </w:pPr>
          </w:p>
          <w:p w14:paraId="6BB95482" w14:textId="77777777" w:rsidR="00E32578" w:rsidRPr="00BD32C8" w:rsidRDefault="00E32578" w:rsidP="00E32578">
            <w:pPr>
              <w:rPr>
                <w:rFonts w:ascii="Times New Roman" w:hAnsi="Times New Roman" w:cs="Times New Roman"/>
                <w:b/>
                <w:sz w:val="20"/>
                <w:szCs w:val="18"/>
              </w:rPr>
            </w:pPr>
            <w:r w:rsidRPr="00BD32C8">
              <w:rPr>
                <w:rFonts w:ascii="Times New Roman" w:hAnsi="Times New Roman" w:cs="Times New Roman"/>
                <w:b/>
                <w:sz w:val="20"/>
                <w:szCs w:val="18"/>
                <w:u w:val="single"/>
              </w:rPr>
              <w:t>GROUPE II</w:t>
            </w:r>
            <w:r w:rsidRPr="00BD32C8">
              <w:rPr>
                <w:rFonts w:ascii="Times New Roman" w:hAnsi="Times New Roman" w:cs="Times New Roman"/>
                <w:sz w:val="20"/>
                <w:szCs w:val="18"/>
              </w:rPr>
              <w:t xml:space="preserve"> : Boissons </w:t>
            </w:r>
            <w:r w:rsidRPr="00BD32C8">
              <w:rPr>
                <w:rFonts w:ascii="Times New Roman" w:hAnsi="Times New Roman" w:cs="Times New Roman"/>
                <w:b/>
                <w:sz w:val="20"/>
                <w:szCs w:val="18"/>
              </w:rPr>
              <w:t>alcoolisées</w:t>
            </w:r>
            <w:r w:rsidRPr="00BD32C8">
              <w:rPr>
                <w:rFonts w:ascii="Times New Roman" w:hAnsi="Times New Roman" w:cs="Times New Roman"/>
                <w:sz w:val="20"/>
                <w:szCs w:val="18"/>
              </w:rPr>
              <w:t xml:space="preserve"> provenant de </w:t>
            </w:r>
            <w:r w:rsidRPr="00BD32C8">
              <w:rPr>
                <w:rFonts w:ascii="Times New Roman" w:hAnsi="Times New Roman" w:cs="Times New Roman"/>
                <w:b/>
                <w:sz w:val="20"/>
                <w:szCs w:val="18"/>
              </w:rPr>
              <w:t>la fermentation naturelle de vin, vins doux naturels.</w:t>
            </w:r>
          </w:p>
          <w:p w14:paraId="3FEBDCE3" w14:textId="77777777" w:rsidR="00E32578" w:rsidRPr="00BD32C8" w:rsidRDefault="00E32578" w:rsidP="00E32578">
            <w:pPr>
              <w:rPr>
                <w:rFonts w:ascii="Times New Roman" w:hAnsi="Times New Roman" w:cs="Times New Roman"/>
                <w:sz w:val="20"/>
                <w:szCs w:val="18"/>
              </w:rPr>
            </w:pPr>
          </w:p>
          <w:p w14:paraId="5685CC67" w14:textId="77777777" w:rsidR="00E32578" w:rsidRPr="00BD32C8" w:rsidRDefault="00E32578" w:rsidP="00E32578">
            <w:pPr>
              <w:rPr>
                <w:rFonts w:ascii="Times New Roman" w:hAnsi="Times New Roman" w:cs="Times New Roman"/>
                <w:sz w:val="20"/>
                <w:szCs w:val="18"/>
              </w:rPr>
            </w:pPr>
          </w:p>
          <w:p w14:paraId="65FF6062" w14:textId="77777777" w:rsidR="00E32578" w:rsidRDefault="00E32578" w:rsidP="00E32578">
            <w:pPr>
              <w:pStyle w:val="NormalWeb"/>
              <w:spacing w:before="0" w:beforeAutospacing="0" w:after="150" w:afterAutospacing="0" w:line="360" w:lineRule="auto"/>
              <w:rPr>
                <w:rFonts w:ascii="Times New Roman" w:hAnsi="Times New Roman"/>
                <w:szCs w:val="18"/>
              </w:rPr>
            </w:pPr>
            <w:r w:rsidRPr="00BD32C8">
              <w:rPr>
                <w:rFonts w:ascii="Times New Roman" w:hAnsi="Times New Roman"/>
                <w:b/>
                <w:szCs w:val="18"/>
                <w:u w:val="single"/>
              </w:rPr>
              <w:t>GROUPE III</w:t>
            </w:r>
            <w:r w:rsidRPr="00BD32C8">
              <w:rPr>
                <w:rFonts w:ascii="Times New Roman" w:hAnsi="Times New Roman"/>
                <w:szCs w:val="18"/>
              </w:rPr>
              <w:t xml:space="preserve"> : Boissons alcoolisées suivantes : </w:t>
            </w:r>
            <w:r w:rsidRPr="00BD32C8">
              <w:rPr>
                <w:rFonts w:ascii="Times New Roman" w:hAnsi="Times New Roman"/>
                <w:b/>
                <w:szCs w:val="18"/>
              </w:rPr>
              <w:t>vin de liqueur, apéritif à base de vin, vins</w:t>
            </w:r>
            <w:r w:rsidRPr="00BD32C8">
              <w:rPr>
                <w:rFonts w:ascii="Times New Roman" w:hAnsi="Times New Roman"/>
                <w:b/>
                <w:i/>
                <w:szCs w:val="18"/>
              </w:rPr>
              <w:t xml:space="preserve"> </w:t>
            </w:r>
            <w:r w:rsidRPr="00BD32C8">
              <w:rPr>
                <w:rFonts w:ascii="Times New Roman" w:hAnsi="Times New Roman"/>
                <w:b/>
                <w:szCs w:val="18"/>
              </w:rPr>
              <w:t>doux naturels autres que ceux appartenant au Groupe II, liqueurs, rhum, alcool provenant de la distillation de vin, cidre poirés, fruits sans addition d’essence</w:t>
            </w:r>
            <w:r w:rsidRPr="00BD32C8">
              <w:rPr>
                <w:rFonts w:ascii="Times New Roman" w:hAnsi="Times New Roman"/>
                <w:szCs w:val="18"/>
              </w:rPr>
              <w:t xml:space="preserve">, toutes les </w:t>
            </w:r>
            <w:r w:rsidRPr="00BD32C8">
              <w:rPr>
                <w:rFonts w:ascii="Times New Roman" w:hAnsi="Times New Roman"/>
                <w:b/>
                <w:szCs w:val="18"/>
              </w:rPr>
              <w:t>autres boissons</w:t>
            </w:r>
            <w:r w:rsidRPr="00BD32C8">
              <w:rPr>
                <w:rFonts w:ascii="Times New Roman" w:hAnsi="Times New Roman"/>
                <w:szCs w:val="18"/>
              </w:rPr>
              <w:t xml:space="preserve"> dont la fabrication et l’importation ne sont pas interdites.</w:t>
            </w:r>
          </w:p>
          <w:p w14:paraId="11218F0F" w14:textId="77777777" w:rsidR="00E32578" w:rsidRPr="00BD32C8" w:rsidRDefault="00E32578" w:rsidP="00E32578">
            <w:pPr>
              <w:pStyle w:val="NormalWeb"/>
              <w:spacing w:before="0" w:beforeAutospacing="0" w:after="150" w:afterAutospacing="0" w:line="360" w:lineRule="auto"/>
              <w:rPr>
                <w:rFonts w:ascii="Times New Roman" w:hAnsi="Times New Roman"/>
                <w:b/>
                <w:szCs w:val="18"/>
              </w:rPr>
            </w:pPr>
            <w:r w:rsidRPr="00BD32C8">
              <w:rPr>
                <w:rFonts w:ascii="Times New Roman" w:hAnsi="Times New Roman"/>
                <w:b/>
                <w:szCs w:val="18"/>
              </w:rPr>
              <w:t>CLASSIFICATION DES DEBITS DE BOISSON</w:t>
            </w:r>
            <w:r>
              <w:rPr>
                <w:rFonts w:ascii="Times New Roman" w:hAnsi="Times New Roman"/>
                <w:b/>
                <w:szCs w:val="18"/>
              </w:rPr>
              <w:t>S</w:t>
            </w:r>
          </w:p>
          <w:p w14:paraId="4F79E4CD" w14:textId="77777777" w:rsidR="00E32578" w:rsidRPr="00BD32C8" w:rsidRDefault="00E32578" w:rsidP="00E32578">
            <w:pPr>
              <w:tabs>
                <w:tab w:val="left" w:pos="4560"/>
              </w:tabs>
              <w:rPr>
                <w:rFonts w:ascii="Times New Roman" w:hAnsi="Times New Roman" w:cs="Times New Roman"/>
                <w:b/>
                <w:sz w:val="20"/>
                <w:szCs w:val="20"/>
                <w:u w:val="single"/>
              </w:rPr>
            </w:pPr>
            <w:r w:rsidRPr="00BD32C8">
              <w:rPr>
                <w:rFonts w:ascii="Times New Roman" w:hAnsi="Times New Roman" w:cs="Times New Roman"/>
                <w:b/>
                <w:sz w:val="20"/>
                <w:szCs w:val="20"/>
                <w:u w:val="single"/>
              </w:rPr>
              <w:t>Les débits de boissons</w:t>
            </w:r>
          </w:p>
          <w:p w14:paraId="124B68B6" w14:textId="77777777" w:rsidR="00E32578" w:rsidRPr="00BD32C8" w:rsidRDefault="00E32578" w:rsidP="00E32578">
            <w:pPr>
              <w:tabs>
                <w:tab w:val="left" w:pos="4560"/>
              </w:tabs>
              <w:rPr>
                <w:rFonts w:ascii="Times New Roman" w:hAnsi="Times New Roman" w:cs="Times New Roman"/>
                <w:sz w:val="20"/>
                <w:szCs w:val="20"/>
              </w:rPr>
            </w:pPr>
            <w:r w:rsidRPr="00BD32C8">
              <w:rPr>
                <w:rFonts w:ascii="Times New Roman" w:hAnsi="Times New Roman" w:cs="Times New Roman"/>
                <w:sz w:val="20"/>
                <w:szCs w:val="20"/>
              </w:rPr>
              <w:t>Ils sont répartis en trois catégories selon l’étendue de la licence dont ils sont assortis, c’est-à-dire la nature des boissons offertes à la consommation.</w:t>
            </w:r>
          </w:p>
          <w:p w14:paraId="71FCD898" w14:textId="77777777" w:rsidR="00E32578" w:rsidRPr="00BD32C8" w:rsidRDefault="00E32578" w:rsidP="00E32578">
            <w:pPr>
              <w:rPr>
                <w:rFonts w:ascii="Times New Roman" w:hAnsi="Times New Roman" w:cs="Times New Roman"/>
                <w:b/>
                <w:sz w:val="20"/>
                <w:szCs w:val="20"/>
              </w:rPr>
            </w:pPr>
          </w:p>
          <w:p w14:paraId="0C0E2E31"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b/>
                <w:sz w:val="20"/>
                <w:szCs w:val="20"/>
              </w:rPr>
              <w:t xml:space="preserve">La licence </w:t>
            </w:r>
            <w:r w:rsidRPr="00BD32C8">
              <w:rPr>
                <w:rFonts w:ascii="Times New Roman" w:hAnsi="Times New Roman" w:cs="Times New Roman"/>
                <w:sz w:val="20"/>
                <w:szCs w:val="20"/>
              </w:rPr>
              <w:t>est un titre fiscal délivré par l’administration des Impôts, qui inscrit l’établissement sur un fichier des débits de boissons.</w:t>
            </w:r>
          </w:p>
          <w:p w14:paraId="170EC1BB" w14:textId="77777777" w:rsidR="00E32578" w:rsidRPr="00BD32C8" w:rsidRDefault="00E32578" w:rsidP="00E32578">
            <w:pPr>
              <w:rPr>
                <w:rFonts w:ascii="Times New Roman" w:hAnsi="Times New Roman" w:cs="Times New Roman"/>
                <w:sz w:val="20"/>
                <w:szCs w:val="20"/>
              </w:rPr>
            </w:pPr>
          </w:p>
          <w:p w14:paraId="2C2AD1B1"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b/>
                <w:sz w:val="20"/>
                <w:szCs w:val="20"/>
                <w:u w:val="single"/>
              </w:rPr>
              <w:lastRenderedPageBreak/>
              <w:t>Licence de 1</w:t>
            </w:r>
            <w:r w:rsidRPr="00BD32C8">
              <w:rPr>
                <w:rFonts w:ascii="Times New Roman" w:hAnsi="Times New Roman" w:cs="Times New Roman"/>
                <w:b/>
                <w:sz w:val="20"/>
                <w:szCs w:val="20"/>
                <w:u w:val="single"/>
                <w:vertAlign w:val="superscript"/>
              </w:rPr>
              <w:t>ère</w:t>
            </w:r>
            <w:r w:rsidRPr="00BD32C8">
              <w:rPr>
                <w:rFonts w:ascii="Times New Roman" w:hAnsi="Times New Roman" w:cs="Times New Roman"/>
                <w:b/>
                <w:sz w:val="20"/>
                <w:szCs w:val="20"/>
                <w:u w:val="single"/>
              </w:rPr>
              <w:t xml:space="preserve"> catégorie</w:t>
            </w:r>
            <w:r w:rsidRPr="00BD32C8">
              <w:rPr>
                <w:rFonts w:ascii="Times New Roman" w:hAnsi="Times New Roman" w:cs="Times New Roman"/>
                <w:sz w:val="20"/>
                <w:szCs w:val="20"/>
              </w:rPr>
              <w:t> :</w:t>
            </w:r>
          </w:p>
          <w:p w14:paraId="01BB33F8"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sz w:val="20"/>
                <w:szCs w:val="20"/>
              </w:rPr>
              <w:t>Cette licence ne comporte l’autorisation de vente que pour les boissons du 1</w:t>
            </w:r>
            <w:r w:rsidRPr="00BD32C8">
              <w:rPr>
                <w:rFonts w:ascii="Times New Roman" w:hAnsi="Times New Roman" w:cs="Times New Roman"/>
                <w:sz w:val="20"/>
                <w:szCs w:val="20"/>
                <w:vertAlign w:val="superscript"/>
              </w:rPr>
              <w:t>er</w:t>
            </w:r>
            <w:r w:rsidRPr="00BD32C8">
              <w:rPr>
                <w:rFonts w:ascii="Times New Roman" w:hAnsi="Times New Roman" w:cs="Times New Roman"/>
                <w:sz w:val="20"/>
                <w:szCs w:val="20"/>
              </w:rPr>
              <w:t xml:space="preserve"> groupe.</w:t>
            </w:r>
          </w:p>
          <w:p w14:paraId="05C55B35" w14:textId="77777777" w:rsidR="00E32578" w:rsidRPr="00BD32C8" w:rsidRDefault="00E32578" w:rsidP="00E32578">
            <w:pPr>
              <w:rPr>
                <w:rFonts w:ascii="Times New Roman" w:hAnsi="Times New Roman" w:cs="Times New Roman"/>
                <w:sz w:val="20"/>
                <w:szCs w:val="20"/>
              </w:rPr>
            </w:pPr>
          </w:p>
          <w:p w14:paraId="7F48B6E0"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b/>
                <w:sz w:val="20"/>
                <w:szCs w:val="20"/>
                <w:u w:val="single"/>
              </w:rPr>
              <w:t>Licence de 2</w:t>
            </w:r>
            <w:r w:rsidRPr="00BD32C8">
              <w:rPr>
                <w:rFonts w:ascii="Times New Roman" w:hAnsi="Times New Roman" w:cs="Times New Roman"/>
                <w:b/>
                <w:sz w:val="20"/>
                <w:szCs w:val="20"/>
                <w:u w:val="single"/>
                <w:vertAlign w:val="superscript"/>
              </w:rPr>
              <w:t>ème</w:t>
            </w:r>
            <w:r w:rsidRPr="00BD32C8">
              <w:rPr>
                <w:rFonts w:ascii="Times New Roman" w:hAnsi="Times New Roman" w:cs="Times New Roman"/>
                <w:b/>
                <w:sz w:val="20"/>
                <w:szCs w:val="20"/>
                <w:u w:val="single"/>
              </w:rPr>
              <w:t xml:space="preserve"> catégorie</w:t>
            </w:r>
            <w:r w:rsidRPr="00BD32C8">
              <w:rPr>
                <w:rFonts w:ascii="Times New Roman" w:hAnsi="Times New Roman" w:cs="Times New Roman"/>
                <w:sz w:val="20"/>
                <w:szCs w:val="20"/>
              </w:rPr>
              <w:t> :</w:t>
            </w:r>
          </w:p>
          <w:p w14:paraId="239CB02B"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sz w:val="20"/>
                <w:szCs w:val="20"/>
              </w:rPr>
              <w:t>Cette licence comporte l’autorisation de vente des deux premiers groupes.</w:t>
            </w:r>
          </w:p>
          <w:p w14:paraId="4D1F3577" w14:textId="77777777" w:rsidR="00E32578" w:rsidRPr="00BD32C8" w:rsidRDefault="00E32578" w:rsidP="00E32578">
            <w:pPr>
              <w:rPr>
                <w:rFonts w:ascii="Times New Roman" w:hAnsi="Times New Roman" w:cs="Times New Roman"/>
                <w:sz w:val="20"/>
                <w:szCs w:val="20"/>
              </w:rPr>
            </w:pPr>
          </w:p>
          <w:p w14:paraId="4152F9E3"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b/>
                <w:sz w:val="20"/>
                <w:szCs w:val="20"/>
                <w:u w:val="single"/>
              </w:rPr>
              <w:t>Licence de 3</w:t>
            </w:r>
            <w:r w:rsidRPr="00BD32C8">
              <w:rPr>
                <w:rFonts w:ascii="Times New Roman" w:hAnsi="Times New Roman" w:cs="Times New Roman"/>
                <w:b/>
                <w:sz w:val="20"/>
                <w:szCs w:val="20"/>
                <w:u w:val="single"/>
                <w:vertAlign w:val="superscript"/>
              </w:rPr>
              <w:t>ème</w:t>
            </w:r>
            <w:r w:rsidRPr="00BD32C8">
              <w:rPr>
                <w:rFonts w:ascii="Times New Roman" w:hAnsi="Times New Roman" w:cs="Times New Roman"/>
                <w:b/>
                <w:sz w:val="20"/>
                <w:szCs w:val="20"/>
                <w:u w:val="single"/>
              </w:rPr>
              <w:t xml:space="preserve"> catégorie</w:t>
            </w:r>
            <w:r w:rsidRPr="00BD32C8">
              <w:rPr>
                <w:rFonts w:ascii="Times New Roman" w:hAnsi="Times New Roman" w:cs="Times New Roman"/>
                <w:sz w:val="20"/>
                <w:szCs w:val="20"/>
              </w:rPr>
              <w:t> :</w:t>
            </w:r>
          </w:p>
          <w:p w14:paraId="27494345" w14:textId="77777777" w:rsidR="00E32578" w:rsidRPr="00BD32C8" w:rsidRDefault="00E32578" w:rsidP="00E32578">
            <w:pPr>
              <w:rPr>
                <w:rFonts w:ascii="Times New Roman" w:hAnsi="Times New Roman" w:cs="Times New Roman"/>
                <w:sz w:val="20"/>
                <w:szCs w:val="20"/>
              </w:rPr>
            </w:pPr>
            <w:r w:rsidRPr="00BD32C8">
              <w:rPr>
                <w:rFonts w:ascii="Times New Roman" w:hAnsi="Times New Roman" w:cs="Times New Roman"/>
                <w:sz w:val="20"/>
                <w:szCs w:val="20"/>
              </w:rPr>
              <w:t>Cette licence comporte l’autorisation de vente des boissons des trois groupes.</w:t>
            </w:r>
          </w:p>
          <w:p w14:paraId="40A684AF" w14:textId="77777777" w:rsidR="00E32578" w:rsidRPr="00BD32C8" w:rsidRDefault="00E32578" w:rsidP="00E32578">
            <w:pPr>
              <w:jc w:val="both"/>
              <w:rPr>
                <w:rFonts w:ascii="Times New Roman" w:hAnsi="Times New Roman" w:cs="Times New Roman"/>
                <w:sz w:val="20"/>
                <w:szCs w:val="20"/>
              </w:rPr>
            </w:pPr>
          </w:p>
          <w:p w14:paraId="4F3D0683" w14:textId="77777777" w:rsidR="00E32578" w:rsidRPr="00BD32C8" w:rsidRDefault="00E32578" w:rsidP="00E32578">
            <w:pPr>
              <w:jc w:val="both"/>
              <w:rPr>
                <w:rFonts w:ascii="Times New Roman" w:hAnsi="Times New Roman" w:cs="Times New Roman"/>
                <w:sz w:val="20"/>
                <w:szCs w:val="20"/>
              </w:rPr>
            </w:pPr>
          </w:p>
          <w:p w14:paraId="732FC0BB" w14:textId="77777777" w:rsidR="00E32578" w:rsidRPr="00BD32C8" w:rsidRDefault="00E32578" w:rsidP="00E32578">
            <w:pPr>
              <w:tabs>
                <w:tab w:val="left" w:pos="360"/>
                <w:tab w:val="left" w:pos="540"/>
              </w:tabs>
              <w:rPr>
                <w:rFonts w:ascii="Times New Roman" w:hAnsi="Times New Roman" w:cs="Times New Roman"/>
                <w:sz w:val="20"/>
                <w:szCs w:val="20"/>
              </w:rPr>
            </w:pPr>
            <w:r w:rsidRPr="00BD32C8">
              <w:rPr>
                <w:rFonts w:ascii="Times New Roman" w:hAnsi="Times New Roman" w:cs="Times New Roman"/>
                <w:b/>
                <w:sz w:val="20"/>
                <w:szCs w:val="20"/>
                <w:u w:val="single"/>
              </w:rPr>
              <w:t>TEXTES DE REFERENCE</w:t>
            </w:r>
            <w:r w:rsidRPr="00BD32C8">
              <w:rPr>
                <w:rFonts w:ascii="Times New Roman" w:hAnsi="Times New Roman" w:cs="Times New Roman"/>
                <w:sz w:val="20"/>
                <w:szCs w:val="20"/>
              </w:rPr>
              <w:t xml:space="preserve"> </w:t>
            </w:r>
          </w:p>
          <w:p w14:paraId="0A01AA6B" w14:textId="77777777" w:rsidR="00E32578" w:rsidRPr="00BD32C8" w:rsidRDefault="00E32578" w:rsidP="00E32578">
            <w:pPr>
              <w:tabs>
                <w:tab w:val="left" w:pos="360"/>
                <w:tab w:val="left" w:pos="540"/>
              </w:tabs>
              <w:rPr>
                <w:rFonts w:ascii="Times New Roman" w:hAnsi="Times New Roman" w:cs="Times New Roman"/>
                <w:sz w:val="20"/>
                <w:szCs w:val="20"/>
              </w:rPr>
            </w:pPr>
          </w:p>
          <w:p w14:paraId="7CF36E4F" w14:textId="77777777" w:rsidR="00E32578" w:rsidRPr="00BD32C8" w:rsidRDefault="00E32578" w:rsidP="00E32578">
            <w:pPr>
              <w:tabs>
                <w:tab w:val="left" w:pos="360"/>
                <w:tab w:val="left" w:pos="540"/>
              </w:tabs>
              <w:rPr>
                <w:rFonts w:ascii="Times New Roman" w:hAnsi="Times New Roman" w:cs="Times New Roman"/>
                <w:sz w:val="20"/>
                <w:szCs w:val="20"/>
              </w:rPr>
            </w:pPr>
            <w:r w:rsidRPr="00BD32C8">
              <w:rPr>
                <w:rFonts w:ascii="Times New Roman" w:hAnsi="Times New Roman" w:cs="Times New Roman"/>
                <w:sz w:val="20"/>
                <w:szCs w:val="20"/>
              </w:rPr>
              <w:t>-    Loi n°9/79/AN du 7 juin 1979 portant règlementation des débits de boissons en Haute Volta ;</w:t>
            </w:r>
          </w:p>
          <w:p w14:paraId="21DBC9AF" w14:textId="77777777" w:rsidR="00E32578" w:rsidRPr="00BD32C8" w:rsidRDefault="00E32578" w:rsidP="00E32578">
            <w:pPr>
              <w:numPr>
                <w:ilvl w:val="0"/>
                <w:numId w:val="1"/>
              </w:numPr>
              <w:tabs>
                <w:tab w:val="left" w:pos="360"/>
                <w:tab w:val="left" w:pos="540"/>
              </w:tabs>
              <w:suppressAutoHyphens/>
              <w:ind w:left="360"/>
              <w:rPr>
                <w:rFonts w:ascii="Times New Roman" w:hAnsi="Times New Roman" w:cs="Times New Roman"/>
                <w:sz w:val="20"/>
                <w:szCs w:val="20"/>
              </w:rPr>
            </w:pPr>
            <w:r w:rsidRPr="00BD32C8">
              <w:rPr>
                <w:rFonts w:ascii="Times New Roman" w:hAnsi="Times New Roman" w:cs="Times New Roman"/>
                <w:sz w:val="20"/>
                <w:szCs w:val="20"/>
              </w:rPr>
              <w:t>Loi n°23/94/ADP du 19 mai 1994 portant Code de Santé Publique ;</w:t>
            </w:r>
          </w:p>
          <w:p w14:paraId="07D4F128" w14:textId="77777777" w:rsidR="00E32578" w:rsidRPr="00BD32C8" w:rsidRDefault="00E32578" w:rsidP="00E32578">
            <w:pPr>
              <w:numPr>
                <w:ilvl w:val="0"/>
                <w:numId w:val="1"/>
              </w:numPr>
              <w:tabs>
                <w:tab w:val="left" w:pos="360"/>
                <w:tab w:val="left" w:pos="540"/>
              </w:tabs>
              <w:suppressAutoHyphens/>
              <w:ind w:left="360"/>
              <w:rPr>
                <w:rFonts w:ascii="Times New Roman" w:hAnsi="Times New Roman" w:cs="Times New Roman"/>
                <w:sz w:val="20"/>
                <w:szCs w:val="20"/>
              </w:rPr>
            </w:pPr>
            <w:r w:rsidRPr="00BD32C8">
              <w:rPr>
                <w:rFonts w:ascii="Times New Roman" w:hAnsi="Times New Roman" w:cs="Times New Roman"/>
                <w:sz w:val="20"/>
                <w:szCs w:val="20"/>
              </w:rPr>
              <w:t>Loi n°22/2005/AN du 24 mai 2005  portant Code de l’Hygiène ;</w:t>
            </w:r>
          </w:p>
          <w:p w14:paraId="0F342FF3" w14:textId="77777777" w:rsidR="00E32578" w:rsidRPr="00BD32C8" w:rsidRDefault="00E32578" w:rsidP="00E32578">
            <w:pPr>
              <w:numPr>
                <w:ilvl w:val="0"/>
                <w:numId w:val="1"/>
              </w:numPr>
              <w:tabs>
                <w:tab w:val="left" w:pos="360"/>
                <w:tab w:val="left" w:pos="540"/>
              </w:tabs>
              <w:suppressAutoHyphens/>
              <w:ind w:left="360"/>
              <w:rPr>
                <w:rFonts w:ascii="Times New Roman" w:hAnsi="Times New Roman" w:cs="Times New Roman"/>
                <w:sz w:val="20"/>
                <w:szCs w:val="20"/>
              </w:rPr>
            </w:pPr>
            <w:r w:rsidRPr="00BD32C8">
              <w:rPr>
                <w:rFonts w:ascii="Times New Roman" w:hAnsi="Times New Roman" w:cs="Times New Roman"/>
                <w:sz w:val="20"/>
                <w:szCs w:val="20"/>
              </w:rPr>
              <w:t>Loi n°47/95/ADP du 15 novembre 1995 portant modification du Code des Impôts relative à la taxe sur les boissons ;</w:t>
            </w:r>
          </w:p>
          <w:p w14:paraId="60203B64" w14:textId="77777777" w:rsidR="00E32578" w:rsidRPr="00BD32C8" w:rsidRDefault="00E32578" w:rsidP="00E32578">
            <w:pPr>
              <w:tabs>
                <w:tab w:val="left" w:pos="360"/>
                <w:tab w:val="left" w:pos="540"/>
              </w:tabs>
              <w:rPr>
                <w:rFonts w:ascii="Times New Roman" w:hAnsi="Times New Roman" w:cs="Times New Roman"/>
                <w:sz w:val="20"/>
                <w:szCs w:val="20"/>
              </w:rPr>
            </w:pPr>
            <w:r w:rsidRPr="00BD32C8">
              <w:rPr>
                <w:rFonts w:ascii="Times New Roman" w:hAnsi="Times New Roman" w:cs="Times New Roman"/>
                <w:sz w:val="20"/>
                <w:szCs w:val="20"/>
              </w:rPr>
              <w:t>-    Loi n°32/93/ADP du 2 décembre 1993 portant modification des taxes sur les boissons ;</w:t>
            </w:r>
          </w:p>
          <w:p w14:paraId="4F935B6C" w14:textId="77777777" w:rsidR="00E32578" w:rsidRPr="00BD32C8" w:rsidRDefault="00E32578" w:rsidP="00E32578">
            <w:pPr>
              <w:numPr>
                <w:ilvl w:val="0"/>
                <w:numId w:val="2"/>
              </w:numPr>
              <w:tabs>
                <w:tab w:val="left" w:pos="360"/>
                <w:tab w:val="left" w:pos="540"/>
              </w:tabs>
              <w:suppressAutoHyphens/>
              <w:rPr>
                <w:rFonts w:ascii="Times New Roman" w:hAnsi="Times New Roman" w:cs="Times New Roman"/>
                <w:sz w:val="20"/>
                <w:szCs w:val="20"/>
              </w:rPr>
            </w:pPr>
            <w:r w:rsidRPr="00BD32C8">
              <w:rPr>
                <w:rFonts w:ascii="Times New Roman" w:hAnsi="Times New Roman" w:cs="Times New Roman"/>
                <w:sz w:val="20"/>
                <w:szCs w:val="20"/>
              </w:rPr>
              <w:t>Ordonnance 81-28/PRES.CNRPN.MF.DGI du 27 août 1981 portant modification du régime d’imposition des licences de boissons, article 266 à 272 tableau E, article 367 à 371 du CIDI du monopole des tabacs ;</w:t>
            </w:r>
          </w:p>
          <w:p w14:paraId="63270DE2" w14:textId="77777777" w:rsidR="00E32578" w:rsidRPr="00BD32C8" w:rsidRDefault="00E32578" w:rsidP="00E32578">
            <w:pPr>
              <w:numPr>
                <w:ilvl w:val="0"/>
                <w:numId w:val="2"/>
              </w:numPr>
              <w:tabs>
                <w:tab w:val="left" w:pos="360"/>
                <w:tab w:val="left" w:pos="540"/>
              </w:tabs>
              <w:suppressAutoHyphens/>
              <w:rPr>
                <w:rFonts w:ascii="Times New Roman" w:hAnsi="Times New Roman" w:cs="Times New Roman"/>
                <w:sz w:val="20"/>
                <w:szCs w:val="20"/>
              </w:rPr>
            </w:pPr>
            <w:r w:rsidRPr="00BD32C8">
              <w:rPr>
                <w:rFonts w:ascii="Times New Roman" w:hAnsi="Times New Roman" w:cs="Times New Roman"/>
                <w:sz w:val="20"/>
                <w:szCs w:val="20"/>
              </w:rPr>
              <w:t>Décret n°79-358/IS/DGI du 17 septembre 1979 portant détermination des conditions d’ouverture de débits de boissons en Haute Volta ;</w:t>
            </w:r>
          </w:p>
          <w:p w14:paraId="6C4C7429" w14:textId="77777777" w:rsidR="00E32578" w:rsidRPr="00BD32C8" w:rsidRDefault="00E32578" w:rsidP="00E32578">
            <w:pPr>
              <w:numPr>
                <w:ilvl w:val="0"/>
                <w:numId w:val="2"/>
              </w:numPr>
              <w:tabs>
                <w:tab w:val="left" w:pos="360"/>
                <w:tab w:val="left" w:pos="540"/>
              </w:tabs>
              <w:suppressAutoHyphens/>
              <w:rPr>
                <w:rFonts w:ascii="Times New Roman" w:hAnsi="Times New Roman" w:cs="Times New Roman"/>
                <w:sz w:val="20"/>
                <w:szCs w:val="20"/>
              </w:rPr>
            </w:pPr>
            <w:r w:rsidRPr="00BD32C8">
              <w:rPr>
                <w:rFonts w:ascii="Times New Roman" w:hAnsi="Times New Roman" w:cs="Times New Roman"/>
                <w:sz w:val="20"/>
                <w:szCs w:val="20"/>
              </w:rPr>
              <w:t>Décret n°94-8/PRES du 5 janvier 1994 promulguant la loi n°38/93 du 2 décembre 1993 portant modification des taxes sur les boissons ;</w:t>
            </w:r>
          </w:p>
          <w:p w14:paraId="4C1139A9" w14:textId="77777777" w:rsidR="00E32578" w:rsidRPr="00BD32C8" w:rsidRDefault="00E32578" w:rsidP="00E32578">
            <w:pPr>
              <w:numPr>
                <w:ilvl w:val="0"/>
                <w:numId w:val="2"/>
              </w:numPr>
              <w:tabs>
                <w:tab w:val="left" w:pos="360"/>
                <w:tab w:val="left" w:pos="540"/>
              </w:tabs>
              <w:suppressAutoHyphens/>
              <w:rPr>
                <w:rFonts w:ascii="Times New Roman" w:hAnsi="Times New Roman" w:cs="Times New Roman"/>
                <w:sz w:val="20"/>
                <w:szCs w:val="20"/>
              </w:rPr>
            </w:pPr>
            <w:r w:rsidRPr="00BD32C8">
              <w:rPr>
                <w:rFonts w:ascii="Times New Roman" w:hAnsi="Times New Roman" w:cs="Times New Roman"/>
                <w:sz w:val="20"/>
                <w:szCs w:val="20"/>
              </w:rPr>
              <w:t>Arrêté n°97-031/MATS/PKAD/CO prescrivant la lutte contre les bruits ;</w:t>
            </w:r>
          </w:p>
          <w:p w14:paraId="4BDDF078" w14:textId="77777777" w:rsidR="00E32578" w:rsidRPr="00BD32C8" w:rsidRDefault="00E32578" w:rsidP="00E32578">
            <w:pPr>
              <w:numPr>
                <w:ilvl w:val="0"/>
                <w:numId w:val="2"/>
              </w:numPr>
              <w:tabs>
                <w:tab w:val="left" w:pos="360"/>
                <w:tab w:val="left" w:pos="540"/>
              </w:tabs>
              <w:suppressAutoHyphens/>
              <w:rPr>
                <w:rFonts w:ascii="Times New Roman" w:hAnsi="Times New Roman" w:cs="Times New Roman"/>
                <w:sz w:val="20"/>
                <w:szCs w:val="20"/>
              </w:rPr>
            </w:pPr>
            <w:r w:rsidRPr="00BD32C8">
              <w:rPr>
                <w:rFonts w:ascii="Times New Roman" w:hAnsi="Times New Roman" w:cs="Times New Roman"/>
                <w:sz w:val="20"/>
                <w:szCs w:val="20"/>
              </w:rPr>
              <w:t>Arrêté n°97-027/MATS/PKAD/CO/ prescrivant l’hygiène, la salubrité dans la ville de Ouagadougou ;</w:t>
            </w:r>
          </w:p>
          <w:p w14:paraId="1C5F10E6" w14:textId="77777777" w:rsidR="00E32578" w:rsidRPr="00BD32C8" w:rsidRDefault="00E32578" w:rsidP="00E32578">
            <w:pPr>
              <w:tabs>
                <w:tab w:val="left" w:pos="0"/>
                <w:tab w:val="left" w:pos="540"/>
              </w:tabs>
              <w:spacing w:line="240" w:lineRule="atLeast"/>
              <w:rPr>
                <w:rFonts w:ascii="Times New Roman" w:hAnsi="Times New Roman" w:cs="Times New Roman"/>
                <w:sz w:val="20"/>
                <w:szCs w:val="20"/>
              </w:rPr>
            </w:pPr>
            <w:r w:rsidRPr="00BD32C8">
              <w:rPr>
                <w:rFonts w:ascii="Times New Roman" w:hAnsi="Times New Roman" w:cs="Times New Roman"/>
                <w:sz w:val="20"/>
                <w:szCs w:val="20"/>
              </w:rPr>
              <w:t>-    Arrêté n° 97-031/MATS/PKAD/CO prescrivant la lutte contre les bruits ;</w:t>
            </w:r>
          </w:p>
          <w:p w14:paraId="01281F8A" w14:textId="06181137" w:rsidR="005E7979" w:rsidRPr="005E7979" w:rsidRDefault="00E32578" w:rsidP="00E32578">
            <w:pPr>
              <w:spacing w:line="276" w:lineRule="auto"/>
              <w:rPr>
                <w:rFonts w:ascii="Cambria" w:hAnsi="Cambria"/>
                <w:sz w:val="22"/>
                <w:szCs w:val="22"/>
              </w:rPr>
            </w:pPr>
            <w:r w:rsidRPr="00BD32C8">
              <w:rPr>
                <w:rFonts w:ascii="Times New Roman" w:hAnsi="Times New Roman"/>
              </w:rPr>
              <w:t>-    Arrêté n° 03/CO du 25 mars 1960, notamment les Titres V  et VII relatifs à la tranquillité des  habitants et aux débits de boissons, spectacles publics, logeurs en garni.</w:t>
            </w:r>
          </w:p>
        </w:tc>
      </w:tr>
    </w:tbl>
    <w:p w14:paraId="0FD4CB77" w14:textId="2E14E531" w:rsidR="005E7979" w:rsidRDefault="005E7979" w:rsidP="005E7979"/>
    <w:p w14:paraId="4733FAA9" w14:textId="243BEB8B" w:rsidR="00744A67" w:rsidRPr="00E23A5C" w:rsidRDefault="00744A67" w:rsidP="00744A67">
      <w:pPr>
        <w:rPr>
          <w:i/>
          <w:color w:val="404040" w:themeColor="text1" w:themeTint="BF"/>
          <w:sz w:val="22"/>
          <w:szCs w:val="22"/>
        </w:rPr>
      </w:pPr>
    </w:p>
    <w:p w14:paraId="72A9573F" w14:textId="77777777" w:rsidR="00744A67" w:rsidRDefault="00744A67" w:rsidP="005E7979"/>
    <w:sectPr w:rsidR="00744A67" w:rsidSect="00E27602">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multilevel"/>
    <w:tmpl w:val="00000010"/>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9"/>
    <w:rsid w:val="001E5F98"/>
    <w:rsid w:val="005E7979"/>
    <w:rsid w:val="00674932"/>
    <w:rsid w:val="00744A67"/>
    <w:rsid w:val="00E27602"/>
    <w:rsid w:val="00E32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38A6010"/>
  <w15:chartTrackingRefBased/>
  <w15:docId w15:val="{11C59E70-C6F6-4602-A8F6-8F2242D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7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797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5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3462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KADIO</dc:creator>
  <cp:keywords/>
  <dc:description/>
  <cp:lastModifiedBy>HP</cp:lastModifiedBy>
  <cp:revision>4</cp:revision>
  <dcterms:created xsi:type="dcterms:W3CDTF">2021-11-23T15:14:00Z</dcterms:created>
  <dcterms:modified xsi:type="dcterms:W3CDTF">2021-11-26T16:31:00Z</dcterms:modified>
</cp:coreProperties>
</file>